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0" w:tblpY="324"/>
        <w:tblW w:w="1051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39"/>
        <w:gridCol w:w="8179"/>
        <w:tblGridChange w:id="0">
          <w:tblGrid>
            <w:gridCol w:w="2339"/>
            <w:gridCol w:w="8179"/>
          </w:tblGrid>
        </w:tblGridChange>
      </w:tblGrid>
      <w:tr>
        <w:trPr>
          <w:cantSplit w:val="0"/>
          <w:trHeight w:val="11247"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2">
            <w:pPr>
              <w:tabs>
                <w:tab w:val="left" w:leader="none" w:pos="2835"/>
              </w:tabs>
              <w:rPr>
                <w:b w:val="1"/>
                <w:bCs w:val="1"/>
                <w:sz w:val="16"/>
                <w:szCs w:val="16"/>
              </w:rPr>
            </w:pPr>
            <w:r w:rsidDel="00000000" w:rsidR="00000000" w:rsidRPr="00000000">
              <w:rPr>
                <w:b w:val="1"/>
                <w:bCs w:val="1"/>
                <w:sz w:val="16"/>
                <w:szCs w:val="16"/>
                <w:rtl w:val="0"/>
              </w:rPr>
              <w:t xml:space="preserve">ARTICOLAZIONE E </w:t>
            </w:r>
          </w:p>
          <w:p w:rsidR="00000000" w:rsidDel="00000000" w:rsidP="00000000" w:rsidRDefault="00000000" w:rsidRPr="00000000" w14:paraId="00000003">
            <w:pPr>
              <w:tabs>
                <w:tab w:val="left" w:leader="none" w:pos="2835"/>
              </w:tabs>
              <w:rPr>
                <w:b w:val="1"/>
                <w:bCs w:val="1"/>
                <w:sz w:val="16"/>
                <w:szCs w:val="16"/>
              </w:rPr>
            </w:pPr>
            <w:r w:rsidDel="00000000" w:rsidR="00000000" w:rsidRPr="00000000">
              <w:rPr>
                <w:b w:val="1"/>
                <w:bCs w:val="1"/>
                <w:sz w:val="16"/>
                <w:szCs w:val="16"/>
                <w:rtl w:val="0"/>
              </w:rPr>
              <w:t xml:space="preserve">CONTENUTI DEL PERCORSO </w:t>
            </w:r>
          </w:p>
          <w:p w:rsidR="00000000" w:rsidDel="00000000" w:rsidP="00000000" w:rsidRDefault="00000000" w:rsidRPr="00000000" w14:paraId="00000004">
            <w:pPr>
              <w:tabs>
                <w:tab w:val="left" w:leader="none" w:pos="2835"/>
              </w:tabs>
              <w:rPr>
                <w:b w:val="1"/>
                <w:bCs w:val="1"/>
                <w:sz w:val="16"/>
                <w:szCs w:val="16"/>
              </w:rPr>
            </w:pPr>
            <w:r w:rsidDel="00000000" w:rsidR="00000000" w:rsidRPr="00000000">
              <w:rPr>
                <w:b w:val="1"/>
                <w:bCs w:val="1"/>
                <w:sz w:val="16"/>
                <w:szCs w:val="16"/>
                <w:rtl w:val="0"/>
              </w:rPr>
              <w:t xml:space="preserve">FORMATIVO</w:t>
            </w:r>
          </w:p>
          <w:p w:rsidR="00000000" w:rsidDel="00000000" w:rsidP="00000000" w:rsidRDefault="00000000" w:rsidRPr="00000000" w14:paraId="0000000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7">
            <w:pPr>
              <w:tabs>
                <w:tab w:val="left" w:leader="none" w:pos="2835"/>
              </w:tabs>
              <w:rPr>
                <w:b w:val="1"/>
                <w:bCs w:val="1"/>
                <w:sz w:val="16"/>
                <w:szCs w:val="16"/>
              </w:rPr>
            </w:pPr>
            <w:r w:rsidDel="00000000" w:rsidR="00000000" w:rsidRPr="00000000">
              <w:rPr>
                <w:b w:val="1"/>
                <w:bCs w:val="1"/>
                <w:sz w:val="16"/>
                <w:szCs w:val="16"/>
                <w:rtl w:val="0"/>
              </w:rPr>
              <w:t xml:space="preserve">DURATA DEL PERCORSO</w:t>
            </w:r>
          </w:p>
          <w:p w:rsidR="00000000" w:rsidDel="00000000" w:rsidP="00000000" w:rsidRDefault="00000000" w:rsidRPr="00000000" w14:paraId="0000002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A">
            <w:pPr>
              <w:tabs>
                <w:tab w:val="left" w:leader="none" w:pos="2835"/>
              </w:tabs>
              <w:rPr>
                <w:b w:val="1"/>
                <w:bCs w:val="1"/>
                <w:sz w:val="16"/>
                <w:szCs w:val="16"/>
              </w:rPr>
            </w:pPr>
            <w:r w:rsidDel="00000000" w:rsidR="00000000" w:rsidRPr="00000000">
              <w:rPr>
                <w:b w:val="1"/>
                <w:bCs w:val="1"/>
                <w:sz w:val="16"/>
                <w:szCs w:val="16"/>
                <w:rtl w:val="0"/>
              </w:rPr>
              <w:t xml:space="preserve">SBOCCHI OCCUPAZIONALI</w:t>
            </w:r>
          </w:p>
          <w:p w:rsidR="00000000" w:rsidDel="00000000" w:rsidP="00000000" w:rsidRDefault="00000000" w:rsidRPr="00000000" w14:paraId="0000002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bCs w:val="1"/>
                <w:sz w:val="16"/>
                <w:szCs w:val="16"/>
              </w:rPr>
            </w:pPr>
            <w:r w:rsidDel="00000000" w:rsidR="00000000" w:rsidRPr="00000000">
              <w:rPr>
                <w:b w:val="1"/>
                <w:bCs w:val="1"/>
                <w:sz w:val="16"/>
                <w:szCs w:val="16"/>
                <w:rtl w:val="0"/>
              </w:rPr>
              <w:t xml:space="preserve">REQUISITI ACCESSO E DESTINATARI</w:t>
            </w:r>
          </w:p>
          <w:p w:rsidR="00000000" w:rsidDel="00000000" w:rsidP="00000000" w:rsidRDefault="00000000" w:rsidRPr="00000000" w14:paraId="0000003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A">
            <w:pPr>
              <w:tabs>
                <w:tab w:val="left" w:leader="none" w:pos="2835"/>
              </w:tabs>
              <w:rPr>
                <w:b w:val="1"/>
                <w:bCs w:val="1"/>
                <w:sz w:val="16"/>
                <w:szCs w:val="16"/>
              </w:rPr>
            </w:pPr>
            <w:r w:rsidDel="00000000" w:rsidR="00000000" w:rsidRPr="00000000">
              <w:rPr>
                <w:b w:val="1"/>
                <w:bCs w:val="1"/>
                <w:sz w:val="16"/>
                <w:szCs w:val="16"/>
                <w:rtl w:val="0"/>
              </w:rPr>
              <w:t xml:space="preserve">MODALITA’ DI SELEZIONE</w:t>
            </w:r>
          </w:p>
          <w:p w:rsidR="00000000" w:rsidDel="00000000" w:rsidP="00000000" w:rsidRDefault="00000000" w:rsidRPr="00000000" w14:paraId="0000003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bCs w:val="1"/>
                <w:sz w:val="16"/>
                <w:szCs w:val="16"/>
              </w:rPr>
            </w:pPr>
            <w:r w:rsidDel="00000000" w:rsidR="00000000" w:rsidRPr="00000000">
              <w:rPr>
                <w:b w:val="1"/>
                <w:bCs w:val="1"/>
                <w:sz w:val="16"/>
                <w:szCs w:val="16"/>
                <w:rtl w:val="0"/>
              </w:rPr>
              <w:t xml:space="preserve">RICONOSCIMENTO CREDITI IN INGRESSO</w:t>
            </w:r>
          </w:p>
          <w:p w:rsidR="00000000" w:rsidDel="00000000" w:rsidP="00000000" w:rsidRDefault="00000000" w:rsidRPr="00000000" w14:paraId="0000003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bCs w:val="1"/>
                <w:sz w:val="16"/>
                <w:szCs w:val="16"/>
              </w:rPr>
            </w:pPr>
            <w:r w:rsidDel="00000000" w:rsidR="00000000" w:rsidRPr="00000000">
              <w:rPr>
                <w:b w:val="1"/>
                <w:bCs w:val="1"/>
                <w:sz w:val="16"/>
                <w:szCs w:val="16"/>
                <w:rtl w:val="0"/>
              </w:rPr>
              <w:t xml:space="preserve">INFORMAZIONI E </w:t>
            </w:r>
          </w:p>
          <w:p w:rsidR="00000000" w:rsidDel="00000000" w:rsidP="00000000" w:rsidRDefault="00000000" w:rsidRPr="00000000" w14:paraId="00000041">
            <w:pPr>
              <w:tabs>
                <w:tab w:val="left" w:leader="none" w:pos="2835"/>
              </w:tabs>
              <w:rPr>
                <w:b w:val="1"/>
                <w:bCs w:val="1"/>
                <w:sz w:val="16"/>
                <w:szCs w:val="16"/>
              </w:rPr>
            </w:pPr>
            <w:r w:rsidDel="00000000" w:rsidR="00000000" w:rsidRPr="00000000">
              <w:rPr>
                <w:b w:val="1"/>
                <w:bCs w:val="1"/>
                <w:sz w:val="16"/>
                <w:szCs w:val="16"/>
                <w:rtl w:val="0"/>
              </w:rPr>
              <w:t xml:space="preserve">ISCRIZIONI</w:t>
            </w:r>
          </w:p>
          <w:p w:rsidR="00000000" w:rsidDel="00000000" w:rsidP="00000000" w:rsidRDefault="00000000" w:rsidRPr="00000000" w14:paraId="0000004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bCs w:val="1"/>
                <w:sz w:val="16"/>
                <w:szCs w:val="16"/>
              </w:rPr>
            </w:pPr>
            <w:r w:rsidDel="00000000" w:rsidR="00000000" w:rsidRPr="00000000">
              <w:rPr>
                <w:b w:val="1"/>
                <w:bCs w:val="1"/>
                <w:sz w:val="16"/>
                <w:szCs w:val="16"/>
                <w:rtl w:val="0"/>
              </w:rPr>
              <w:t xml:space="preserve">SEDE DI SVOLGIMENTO</w:t>
            </w:r>
          </w:p>
          <w:p w:rsidR="00000000" w:rsidDel="00000000" w:rsidP="00000000" w:rsidRDefault="00000000" w:rsidRPr="00000000" w14:paraId="0000004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9">
            <w:pPr>
              <w:tabs>
                <w:tab w:val="left" w:leader="none" w:pos="2835"/>
              </w:tabs>
              <w:rPr/>
            </w:pPr>
            <w:r w:rsidDel="00000000" w:rsidR="00000000" w:rsidRPr="00000000">
              <w:rPr>
                <w:b w:val="1"/>
                <w:bCs w:val="1"/>
                <w:sz w:val="16"/>
                <w:szCs w:val="16"/>
                <w:rtl w:val="0"/>
              </w:rPr>
              <w:t xml:space="preserve">INDICAZIONI SULLA FREQUENZA DEL PERCORSO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A">
            <w:pPr>
              <w:ind w:left="-2" w:right="232" w:hanging="2"/>
              <w:rPr>
                <w:sz w:val="18"/>
                <w:szCs w:val="18"/>
              </w:rPr>
            </w:pPr>
            <w:r w:rsidDel="00000000" w:rsidR="00000000" w:rsidRPr="00000000">
              <w:rPr>
                <w:sz w:val="18"/>
                <w:szCs w:val="18"/>
                <w:rtl w:val="0"/>
              </w:rPr>
              <w:t xml:space="preserve">Il montatore cinematografico è una figura fondamentale del cinema nella costruzione della narrazione. La sua arte è cruciale per definire il ritmo, l’emozione e la coerenza di un film, trasformando il materiale grezzo in un’ opera coinvolgente.</w:t>
            </w:r>
          </w:p>
          <w:p w:rsidR="00000000" w:rsidDel="00000000" w:rsidP="00000000" w:rsidRDefault="00000000" w:rsidRPr="00000000" w14:paraId="0000004B">
            <w:pPr>
              <w:ind w:left="-2" w:right="232" w:hanging="2"/>
              <w:rPr>
                <w:sz w:val="18"/>
                <w:szCs w:val="18"/>
              </w:rPr>
            </w:pPr>
            <w:r w:rsidDel="00000000" w:rsidR="00000000" w:rsidRPr="00000000">
              <w:rPr>
                <w:sz w:val="18"/>
                <w:szCs w:val="18"/>
                <w:rtl w:val="0"/>
              </w:rPr>
              <w:t xml:space="preserve">Il corso si pone l’obiettivo formare futuri operatori cinematografici che sappiano muoversi nel mondo del montaggio e della post-produzione step by step, iniziando dall’ approfondimento teorico del ruolo del montaggio nel cinema da un punto di vista storico-artistico, passando dall’uso di software di montaggio alla pratica effettiva sui software stessi. Le esercitazioni seguite dalle docenti e dai docenti di montaggio andranno dalla visione e analisi del materiale al premontaggio fino al montaggio vero e proprio di alcune scene dei diversi episodi pensati durante il corso.</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Nell’arco de</w:t>
            </w:r>
            <w:r w:rsidDel="00000000" w:rsidR="00000000" w:rsidRPr="00000000">
              <w:rPr>
                <w:sz w:val="18"/>
                <w:szCs w:val="18"/>
                <w:rtl w:val="0"/>
              </w:rPr>
              <w:t xml:space="preserve">lle 160 ore di lez</w:t>
            </w:r>
            <w:r w:rsidDel="00000000" w:rsidR="00000000" w:rsidRPr="00000000">
              <w:rPr>
                <w:sz w:val="18"/>
                <w:szCs w:val="18"/>
                <w:rtl w:val="0"/>
              </w:rPr>
              <w:t xml:space="preserve">ione verranno sviluppati, dai docenti che si alterneranno nelle settimane di corso, i seguenti argomenti:</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4F">
            <w:pPr>
              <w:jc w:val="both"/>
              <w:rPr>
                <w:sz w:val="18"/>
                <w:szCs w:val="18"/>
              </w:rPr>
            </w:pPr>
            <w:r w:rsidDel="00000000" w:rsidR="00000000" w:rsidRPr="00000000">
              <w:rPr>
                <w:sz w:val="18"/>
                <w:szCs w:val="18"/>
                <w:rtl w:val="0"/>
              </w:rPr>
              <w:t xml:space="preserve">1) introduttivo di carattere storico – teorico sarà volto a dare agli allievi una originale base di approccio al linguaggio cinematografico attraverso esempi visivi e audiovisivi tratti dalla storia del cinema , della pittura e del fumetto.</w:t>
            </w:r>
          </w:p>
          <w:p w:rsidR="00000000" w:rsidDel="00000000" w:rsidP="00000000" w:rsidRDefault="00000000" w:rsidRPr="00000000" w14:paraId="00000050">
            <w:pPr>
              <w:jc w:val="both"/>
              <w:rPr>
                <w:sz w:val="18"/>
                <w:szCs w:val="18"/>
              </w:rPr>
            </w:pPr>
            <w:r w:rsidDel="00000000" w:rsidR="00000000" w:rsidRPr="00000000">
              <w:rPr>
                <w:sz w:val="18"/>
                <w:szCs w:val="18"/>
                <w:rtl w:val="0"/>
              </w:rPr>
              <w:t xml:space="preserve">(24 ore)</w:t>
            </w:r>
          </w:p>
          <w:p w:rsidR="00000000" w:rsidDel="00000000" w:rsidP="00000000" w:rsidRDefault="00000000" w:rsidRPr="00000000" w14:paraId="00000051">
            <w:pPr>
              <w:jc w:val="both"/>
              <w:rPr>
                <w:sz w:val="18"/>
                <w:szCs w:val="18"/>
              </w:rPr>
            </w:pPr>
            <w:r w:rsidDel="00000000" w:rsidR="00000000" w:rsidRPr="00000000">
              <w:rPr>
                <w:sz w:val="18"/>
                <w:szCs w:val="18"/>
                <w:rtl w:val="0"/>
              </w:rPr>
              <w:t xml:space="preserve">2) di carattere tecnico metodologico : uso del software Avid nel lavoro dell’assistente al montaggio per progetti di tipo seriale , configurazione e gestione del progetto per predisporre il materiale con cui gli allievi faranno il laboratorio.</w:t>
            </w:r>
          </w:p>
          <w:p w:rsidR="00000000" w:rsidDel="00000000" w:rsidP="00000000" w:rsidRDefault="00000000" w:rsidRPr="00000000" w14:paraId="00000052">
            <w:pPr>
              <w:jc w:val="both"/>
              <w:rPr>
                <w:sz w:val="18"/>
                <w:szCs w:val="18"/>
              </w:rPr>
            </w:pPr>
            <w:r w:rsidDel="00000000" w:rsidR="00000000" w:rsidRPr="00000000">
              <w:rPr>
                <w:sz w:val="18"/>
                <w:szCs w:val="18"/>
                <w:rtl w:val="0"/>
              </w:rPr>
              <w:t xml:space="preserve">(32 ore)</w:t>
            </w:r>
          </w:p>
          <w:p w:rsidR="00000000" w:rsidDel="00000000" w:rsidP="00000000" w:rsidRDefault="00000000" w:rsidRPr="00000000" w14:paraId="00000053">
            <w:pPr>
              <w:jc w:val="both"/>
              <w:rPr>
                <w:sz w:val="18"/>
                <w:szCs w:val="18"/>
              </w:rPr>
            </w:pPr>
            <w:r w:rsidDel="00000000" w:rsidR="00000000" w:rsidRPr="00000000">
              <w:rPr>
                <w:sz w:val="18"/>
                <w:szCs w:val="18"/>
                <w:rtl w:val="0"/>
              </w:rPr>
              <w:t xml:space="preserve">3) laboratoriale: i materiali preparati nel modulo 2 saranno oggetto dell’esercitazione pratica di montaggio delle sequenze della serie. Dalla visione e analisi del materiale al premontaggio fino al montaggio vero e proprio di alcune scene dei diversi episodi, analisi comparata dei lavori fatti dalle diverse coppie di allievi (gli allievi lavoreranno in coppia su ogni postazione simulando la configurazione assistente/montatore e montatore/regista).</w:t>
            </w:r>
          </w:p>
          <w:p w:rsidR="00000000" w:rsidDel="00000000" w:rsidP="00000000" w:rsidRDefault="00000000" w:rsidRPr="00000000" w14:paraId="00000054">
            <w:pPr>
              <w:jc w:val="both"/>
              <w:rPr>
                <w:sz w:val="18"/>
                <w:szCs w:val="18"/>
              </w:rPr>
            </w:pPr>
            <w:r w:rsidDel="00000000" w:rsidR="00000000" w:rsidRPr="00000000">
              <w:rPr>
                <w:sz w:val="18"/>
                <w:szCs w:val="18"/>
                <w:rtl w:val="0"/>
              </w:rPr>
              <w:t xml:space="preserve">(64 ore)</w:t>
            </w:r>
          </w:p>
          <w:p w:rsidR="00000000" w:rsidDel="00000000" w:rsidP="00000000" w:rsidRDefault="00000000" w:rsidRPr="00000000" w14:paraId="00000055">
            <w:pPr>
              <w:jc w:val="both"/>
              <w:rPr>
                <w:sz w:val="18"/>
                <w:szCs w:val="18"/>
              </w:rPr>
            </w:pPr>
            <w:r w:rsidDel="00000000" w:rsidR="00000000" w:rsidRPr="00000000">
              <w:rPr>
                <w:sz w:val="18"/>
                <w:szCs w:val="18"/>
                <w:rtl w:val="0"/>
              </w:rPr>
              <w:t xml:space="preserve">4) Post-produzione video: a partire dalle scene montate dagli allievi apprendimento base della metodologia del conforming e della color sul software DaVinci Resolve.</w:t>
            </w:r>
          </w:p>
          <w:p w:rsidR="00000000" w:rsidDel="00000000" w:rsidP="00000000" w:rsidRDefault="00000000" w:rsidRPr="00000000" w14:paraId="00000056">
            <w:pPr>
              <w:jc w:val="both"/>
              <w:rPr>
                <w:sz w:val="18"/>
                <w:szCs w:val="18"/>
              </w:rPr>
            </w:pPr>
            <w:r w:rsidDel="00000000" w:rsidR="00000000" w:rsidRPr="00000000">
              <w:rPr>
                <w:sz w:val="18"/>
                <w:szCs w:val="18"/>
                <w:rtl w:val="0"/>
              </w:rPr>
              <w:t xml:space="preserve">(40 ore</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corso ha una durata complessiva</w:t>
            </w:r>
            <w:r w:rsidDel="00000000" w:rsidR="00000000" w:rsidRPr="00000000">
              <w:rPr>
                <w:sz w:val="18"/>
                <w:szCs w:val="18"/>
                <w:rtl w:val="0"/>
              </w:rPr>
              <w:t xml:space="preserve"> di 160 ore, </w:t>
            </w:r>
            <w:r w:rsidDel="00000000" w:rsidR="00000000" w:rsidRPr="00000000">
              <w:rPr>
                <w:sz w:val="18"/>
                <w:szCs w:val="18"/>
                <w:rtl w:val="0"/>
              </w:rPr>
              <w:t xml:space="preserve">con un impegno di 8 ore al giorno dalle </w:t>
            </w:r>
            <w:r w:rsidDel="00000000" w:rsidR="00000000" w:rsidRPr="00000000">
              <w:rPr>
                <w:sz w:val="18"/>
                <w:szCs w:val="18"/>
                <w:rtl w:val="0"/>
              </w:rPr>
              <w:t xml:space="preserve">9.30-13.30 e 14.30-18.30</w:t>
            </w:r>
            <w:r w:rsidDel="00000000" w:rsidR="00000000" w:rsidRPr="00000000">
              <w:rPr>
                <w:sz w:val="18"/>
                <w:szCs w:val="18"/>
                <w:rtl w:val="0"/>
              </w:rPr>
              <w:t xml:space="preserve">, per 20 giorni nel mese di GENNAIO 2026.</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A">
            <w:pPr>
              <w:ind w:left="-2" w:right="232" w:hanging="2"/>
              <w:rPr>
                <w:sz w:val="18"/>
                <w:szCs w:val="18"/>
              </w:rPr>
            </w:pPr>
            <w:r w:rsidDel="00000000" w:rsidR="00000000" w:rsidRPr="00000000">
              <w:rPr>
                <w:sz w:val="18"/>
                <w:szCs w:val="18"/>
                <w:rtl w:val="0"/>
              </w:rPr>
              <w:t xml:space="preserve">Il corso si pone come finalità di formare futuri operatori cinematografici che sappiano muoversi nel mondo del montaggio e della post-produzione step by step, iniziando dall’ approfondimento teorico del ruolo del montaggio nella serialità da un punto di vista storico-artistico, passando dall’uso di software di montaggio alla pratica effettiva sui software stessi</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Arial" w:cs="Arial" w:eastAsia="Arial" w:hAnsi="Arial"/>
                <w:sz w:val="18"/>
                <w:szCs w:val="18"/>
                <w:highlight w:val="yellow"/>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w:t>
            </w:r>
            <w:r w:rsidDel="00000000" w:rsidR="00000000" w:rsidRPr="00000000">
              <w:rPr>
                <w:sz w:val="18"/>
                <w:szCs w:val="18"/>
                <w:rtl w:val="0"/>
              </w:rPr>
              <w:t xml:space="preserve">nze. </w:t>
            </w:r>
            <w:r w:rsidDel="00000000" w:rsidR="00000000" w:rsidRPr="00000000">
              <w:rPr>
                <w:sz w:val="18"/>
                <w:szCs w:val="18"/>
                <w:rtl w:val="0"/>
              </w:rPr>
              <w:t xml:space="preserve">E’ necessaria la conoscenza dei software DaVinci Resolve e Avid Media Composer.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I candidati selezionati saranno informati con un’email.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87"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Non è previsto riconoscimento di crediti in ingresso.</w:t>
            </w:r>
          </w:p>
          <w:p w:rsidR="00000000" w:rsidDel="00000000" w:rsidP="00000000" w:rsidRDefault="00000000" w:rsidRPr="00000000" w14:paraId="00000063">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4">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5">
            <w:pPr>
              <w:tabs>
                <w:tab w:val="left" w:leader="none" w:pos="2840"/>
                <w:tab w:val="left" w:leader="none" w:pos="8270"/>
              </w:tabs>
              <w:rPr>
                <w:sz w:val="18"/>
                <w:szCs w:val="18"/>
              </w:rPr>
            </w:pPr>
            <w:r w:rsidDel="00000000" w:rsidR="00000000" w:rsidRPr="00000000">
              <w:rPr>
                <w:sz w:val="18"/>
                <w:szCs w:val="18"/>
                <w:rtl w:val="0"/>
              </w:rPr>
              <w:t xml:space="preserve">Le iscrizioni dovranno pervenire entro e non ol</w:t>
            </w:r>
            <w:r w:rsidDel="00000000" w:rsidR="00000000" w:rsidRPr="00000000">
              <w:rPr>
                <w:sz w:val="18"/>
                <w:szCs w:val="18"/>
                <w:rtl w:val="0"/>
              </w:rPr>
              <w:t xml:space="preserve">tre il 29/12/2025 alla ma</w:t>
            </w:r>
            <w:r w:rsidDel="00000000" w:rsidR="00000000" w:rsidRPr="00000000">
              <w:rPr>
                <w:sz w:val="18"/>
                <w:szCs w:val="18"/>
                <w:rtl w:val="0"/>
              </w:rPr>
              <w:t xml:space="preserve">il </w:t>
            </w:r>
            <w:hyperlink r:id="rId7">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 Per informazioni consultare la pagina dedicata alla formazione sul sito </w:t>
            </w:r>
            <w:hyperlink r:id="rId8">
              <w:r w:rsidDel="00000000" w:rsidR="00000000" w:rsidRPr="00000000">
                <w:rPr>
                  <w:color w:val="0000ff"/>
                  <w:sz w:val="18"/>
                  <w:szCs w:val="18"/>
                  <w:u w:val="single"/>
                  <w:rtl w:val="0"/>
                </w:rPr>
                <w:t xml:space="preserve">www.manifatturedigitalicinema.it</w:t>
              </w:r>
            </w:hyperlink>
            <w:r w:rsidDel="00000000" w:rsidR="00000000" w:rsidRPr="00000000">
              <w:rPr>
                <w:sz w:val="18"/>
                <w:szCs w:val="18"/>
                <w:rtl w:val="0"/>
              </w:rPr>
              <w:t xml:space="preserve"> </w:t>
            </w:r>
          </w:p>
          <w:p w:rsidR="00000000" w:rsidDel="00000000" w:rsidP="00000000" w:rsidRDefault="00000000" w:rsidRPr="00000000" w14:paraId="00000066">
            <w:pPr>
              <w:tabs>
                <w:tab w:val="left" w:leader="none" w:pos="2840"/>
                <w:tab w:val="left" w:leader="none" w:pos="8270"/>
              </w:tabs>
              <w:rPr>
                <w:sz w:val="18"/>
                <w:szCs w:val="18"/>
              </w:rPr>
            </w:pPr>
            <w:hyperlink r:id="rId9">
              <w:r w:rsidDel="00000000" w:rsidR="00000000" w:rsidRPr="00000000">
                <w:rPr>
                  <w:sz w:val="18"/>
                  <w:szCs w:val="18"/>
                  <w:rtl w:val="0"/>
                </w:rPr>
                <w:t xml:space="preserve">Tel.  057420953</w:t>
              </w:r>
            </w:hyperlink>
            <w:r w:rsidDel="00000000" w:rsidR="00000000" w:rsidRPr="00000000">
              <w:rPr>
                <w:sz w:val="18"/>
                <w:szCs w:val="18"/>
                <w:rtl w:val="0"/>
              </w:rPr>
              <w:t xml:space="preserve"> Mail: </w:t>
            </w:r>
            <w:hyperlink r:id="rId10">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w:t>
            </w:r>
          </w:p>
          <w:p w:rsidR="00000000" w:rsidDel="00000000" w:rsidP="00000000" w:rsidRDefault="00000000" w:rsidRPr="00000000" w14:paraId="00000067">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8">
            <w:pPr>
              <w:tabs>
                <w:tab w:val="left" w:leader="none" w:pos="2840"/>
                <w:tab w:val="left" w:leader="none" w:pos="8270"/>
              </w:tabs>
              <w:rPr>
                <w:sz w:val="18"/>
                <w:szCs w:val="18"/>
              </w:rPr>
            </w:pPr>
            <w:r w:rsidDel="00000000" w:rsidR="00000000" w:rsidRPr="00000000">
              <w:rPr>
                <w:sz w:val="18"/>
                <w:szCs w:val="18"/>
                <w:rtl w:val="0"/>
              </w:rPr>
              <w:t xml:space="preserve">Manifatture Digitali Cinema, Via Dolce de’ Mazzamuti, 1, Prato</w:t>
            </w:r>
          </w:p>
          <w:p w:rsidR="00000000" w:rsidDel="00000000" w:rsidP="00000000" w:rsidRDefault="00000000" w:rsidRPr="00000000" w14:paraId="00000069">
            <w:pPr>
              <w:spacing w:after="200" w:lineRule="auto"/>
              <w:jc w:val="both"/>
              <w:rPr>
                <w:sz w:val="18"/>
                <w:szCs w:val="18"/>
              </w:rPr>
            </w:pPr>
            <w:r w:rsidDel="00000000" w:rsidR="00000000" w:rsidRPr="00000000">
              <w:rPr>
                <w:rtl w:val="0"/>
              </w:rPr>
            </w:r>
          </w:p>
          <w:p w:rsidR="00000000" w:rsidDel="00000000" w:rsidP="00000000" w:rsidRDefault="00000000" w:rsidRPr="00000000" w14:paraId="0000006A">
            <w:pPr>
              <w:spacing w:after="200" w:lineRule="auto"/>
              <w:jc w:val="both"/>
              <w:rPr>
                <w:sz w:val="18"/>
                <w:szCs w:val="18"/>
              </w:rPr>
            </w:pPr>
            <w:r w:rsidDel="00000000" w:rsidR="00000000" w:rsidRPr="00000000">
              <w:rPr>
                <w:sz w:val="18"/>
                <w:szCs w:val="18"/>
                <w:rtl w:val="0"/>
              </w:rPr>
              <w:t xml:space="preserve">I partecipanti che avranno frequentato almeno il 70% del monte ore complessivo riceveranno un attestato di frequenza.</w:t>
            </w:r>
          </w:p>
        </w:tc>
      </w:tr>
    </w:tbl>
    <w:p w:rsidR="00000000" w:rsidDel="00000000" w:rsidP="00000000" w:rsidRDefault="00000000" w:rsidRPr="00000000" w14:paraId="0000006B">
      <w:pPr>
        <w:widowControl w:val="0"/>
        <w:rPr/>
      </w:pPr>
      <w:r w:rsidDel="00000000" w:rsidR="00000000" w:rsidRPr="00000000">
        <w:rPr>
          <w:rtl w:val="0"/>
        </w:rPr>
      </w:r>
    </w:p>
    <w:sectPr>
      <w:headerReference r:id="rId11" w:type="default"/>
      <w:pgSz w:h="16840" w:w="11900"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drawing>
        <wp:inline distB="0" distT="0" distL="0" distR="0">
          <wp:extent cx="6120766" cy="605791"/>
          <wp:effectExtent b="0" l="0" r="0" t="0"/>
          <wp:docPr descr="image1.png" id="1073741832"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20766" cy="605791"/>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tabs>
        <w:tab w:val="left" w:leader="none" w:pos="720"/>
        <w:tab w:val="left" w:leader="none" w:pos="3024"/>
        <w:tab w:val="left" w:leader="none" w:pos="4032"/>
        <w:tab w:val="left" w:leader="none" w:pos="4896"/>
      </w:tabs>
      <w:ind w:left="-540" w:firstLine="0"/>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Dal caos all'ordine: la magia del montaggio delle serie</w:t>
    </w:r>
    <w:r w:rsidDel="00000000" w:rsidR="00000000" w:rsidRPr="00000000">
      <w:rPr>
        <w:rtl w:val="0"/>
      </w:rPr>
    </w:r>
  </w:p>
  <w:p w:rsidR="00000000" w:rsidDel="00000000" w:rsidP="00000000" w:rsidRDefault="00000000" w:rsidRPr="00000000" w14:paraId="00000070">
    <w:pPr>
      <w:tabs>
        <w:tab w:val="left" w:leader="none" w:pos="720"/>
        <w:tab w:val="left" w:leader="none" w:pos="3024"/>
        <w:tab w:val="left" w:leader="none" w:pos="4032"/>
        <w:tab w:val="left" w:leader="none" w:pos="4896"/>
      </w:tabs>
      <w:ind w:left="-540"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73">
    <w:pPr>
      <w:jc w:val="center"/>
      <w:rPr>
        <w:sz w:val="16"/>
        <w:szCs w:val="16"/>
      </w:rPr>
    </w:pPr>
    <w:r w:rsidDel="00000000" w:rsidR="00000000" w:rsidRPr="00000000">
      <w:rPr>
        <w:sz w:val="16"/>
        <w:szCs w:val="16"/>
        <w:rtl w:val="0"/>
      </w:rPr>
      <w:t xml:space="preserve">Il corso è interamente gratuito in quanto finanziato dal Fondo Sociale Europeo Plus 2021/2027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ollegamentoipertestuale">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Intestazioneepidipagina" w:customStyle="1">
    <w:name w:val="Intestazione e piè di pagina"/>
    <w:pPr>
      <w:tabs>
        <w:tab w:val="right" w:pos="9020"/>
      </w:tabs>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Didefault" w:customStyle="1">
    <w:name w:val="Di default"/>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character" w:styleId="Hyperlink0" w:customStyle="1">
    <w:name w:val="Hyperlink.0"/>
    <w:basedOn w:val="Collegamentoipertestuale"/>
    <w:rPr>
      <w:outline w:val="0"/>
      <w:color w:val="0000ff"/>
      <w:u w:color="0000ff" w:val="single"/>
    </w:rPr>
  </w:style>
  <w:style w:type="character" w:styleId="Nessuno" w:customStyle="1">
    <w:name w:val="Nessuno"/>
  </w:style>
  <w:style w:type="character" w:styleId="Hyperlink1" w:customStyle="1">
    <w:name w:val="Hyperlink.1"/>
    <w:basedOn w:val="Nessuno"/>
    <w:rPr>
      <w:lang w:val="it-IT"/>
    </w:rPr>
  </w:style>
  <w:style w:type="paragraph" w:styleId="Intestazione">
    <w:name w:val="header"/>
    <w:basedOn w:val="Normale"/>
    <w:link w:val="IntestazioneCarattere"/>
    <w:uiPriority w:val="99"/>
    <w:unhideWhenUsed w:val="1"/>
    <w:rsid w:val="00AE0C0E"/>
    <w:pPr>
      <w:tabs>
        <w:tab w:val="center" w:pos="4819"/>
        <w:tab w:val="right" w:pos="9638"/>
      </w:tabs>
    </w:pPr>
  </w:style>
  <w:style w:type="character" w:styleId="IntestazioneCarattere" w:customStyle="1">
    <w:name w:val="Intestazione Carattere"/>
    <w:basedOn w:val="Carpredefinitoparagrafo"/>
    <w:link w:val="Intestazione"/>
    <w:uiPriority w:val="99"/>
    <w:rsid w:val="00AE0C0E"/>
    <w:rPr>
      <w:rFonts w:ascii="Century Gothic" w:cs="Arial Unicode MS" w:hAnsi="Century Gothic"/>
      <w:color w:val="000000"/>
      <w:sz w:val="22"/>
      <w:szCs w:val="22"/>
      <w:u w:color="000000"/>
    </w:rPr>
  </w:style>
  <w:style w:type="paragraph" w:styleId="Pidipagina">
    <w:name w:val="footer"/>
    <w:basedOn w:val="Normale"/>
    <w:link w:val="PidipaginaCarattere"/>
    <w:uiPriority w:val="99"/>
    <w:unhideWhenUsed w:val="1"/>
    <w:rsid w:val="00AE0C0E"/>
    <w:pPr>
      <w:tabs>
        <w:tab w:val="center" w:pos="4819"/>
        <w:tab w:val="right" w:pos="9638"/>
      </w:tabs>
    </w:pPr>
  </w:style>
  <w:style w:type="character" w:styleId="PidipaginaCarattere" w:customStyle="1">
    <w:name w:val="Piè di pagina Carattere"/>
    <w:basedOn w:val="Carpredefinitoparagrafo"/>
    <w:link w:val="Pidipagina"/>
    <w:uiPriority w:val="99"/>
    <w:rsid w:val="00AE0C0E"/>
    <w:rPr>
      <w:rFonts w:ascii="Century Gothic" w:cs="Arial Unicode MS" w:hAnsi="Century Gothic"/>
      <w:color w:val="000000"/>
      <w:sz w:val="22"/>
      <w:szCs w:val="22"/>
      <w:u w:color="000000"/>
    </w:rPr>
  </w:style>
  <w:style w:type="character" w:styleId="Menzionenonrisolta">
    <w:name w:val="Unresolved Mention"/>
    <w:basedOn w:val="Carpredefinitoparagrafo"/>
    <w:uiPriority w:val="99"/>
    <w:semiHidden w:val="1"/>
    <w:unhideWhenUsed w:val="1"/>
    <w:rsid w:val="00C06A98"/>
    <w:rPr>
      <w:color w:val="605e5c"/>
      <w:shd w:color="auto" w:fill="e1dfdd" w:val="clear"/>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paragraph" w:styleId="Paragrafoelenco">
    <w:name w:val="List Paragraph"/>
    <w:basedOn w:val="Normale"/>
    <w:uiPriority w:val="34"/>
    <w:qFormat w:val="1"/>
    <w:rsid w:val="00F55CC1"/>
    <w:pPr>
      <w:ind w:left="720"/>
      <w:contextualSpacing w:val="1"/>
    </w:pPr>
  </w:style>
  <w:style w:type="table" w:styleId="a2" w:customStyle="1">
    <w:basedOn w:val="TableNormal0"/>
    <w:tblPr>
      <w:tblStyleRowBandSize w:val="1"/>
      <w:tblStyleColBandSize w:val="1"/>
    </w:tblPr>
  </w:style>
  <w:style w:type="paragraph" w:styleId="Standard" w:customStyle="1">
    <w:name w:val="Standard"/>
    <w:rsid w:val="00402225"/>
    <w:pPr>
      <w:suppressAutoHyphens w:val="1"/>
      <w:autoSpaceDN w:val="0"/>
      <w:textAlignment w:val="baseline"/>
    </w:pPr>
    <w:rPr>
      <w:lang w:bidi="hi-IN" w:eastAsia="zh-CN"/>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scrizioni@manifatturedigitalicinema.it" TargetMode="External"/><Relationship Id="rId9" Type="http://schemas.openxmlformats.org/officeDocument/2006/relationships/hyperlink" Target="tel:0574209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crizioni@manifatturedigitalicinema.it" TargetMode="External"/><Relationship Id="rId8" Type="http://schemas.openxmlformats.org/officeDocument/2006/relationships/hyperlink" Target="http://www.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21J8JUTxz3E0f9WlAnaBW5dHgA==">CgMxLjA4AHIhMUN4OTAtOGFqTlhYTUVZcGRjUVRuZDdiZ1pUeHBGU2Fl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2025-07-22T10:59:00Z</dcterms:created>
</cp:coreProperties>
</file>