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tl w:val="0"/>
        </w:rPr>
        <w:t xml:space="preserve"> </w:t>
      </w:r>
      <w:r w:rsidDel="00000000" w:rsidR="00000000" w:rsidRPr="00000000">
        <w:rPr>
          <w:rtl w:val="0"/>
        </w:rPr>
      </w:r>
    </w:p>
    <w:tbl>
      <w:tblPr>
        <w:tblStyle w:val="Table1"/>
        <w:tblW w:w="11055.0" w:type="dxa"/>
        <w:jc w:val="left"/>
        <w:tblInd w:w="-197.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60"/>
        <w:gridCol w:w="8595"/>
        <w:tblGridChange w:id="0">
          <w:tblGrid>
            <w:gridCol w:w="2460"/>
            <w:gridCol w:w="8595"/>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2">
            <w:pPr>
              <w:tabs>
                <w:tab w:val="left" w:leader="none" w:pos="2835"/>
              </w:tabs>
              <w:jc w:val="both"/>
              <w:rPr>
                <w:b w:val="1"/>
                <w:bCs w:val="1"/>
                <w:sz w:val="16"/>
                <w:szCs w:val="16"/>
              </w:rPr>
            </w:pPr>
            <w:r w:rsidDel="00000000" w:rsidR="00000000" w:rsidRPr="00000000">
              <w:rPr>
                <w:b w:val="1"/>
                <w:bCs w:val="1"/>
                <w:sz w:val="16"/>
                <w:szCs w:val="16"/>
                <w:rtl w:val="0"/>
              </w:rPr>
              <w:t xml:space="preserve">ARTICOLAZIONE E </w:t>
            </w:r>
          </w:p>
          <w:p w:rsidR="00000000" w:rsidDel="00000000" w:rsidP="00000000" w:rsidRDefault="00000000" w:rsidRPr="00000000" w14:paraId="00000003">
            <w:pPr>
              <w:tabs>
                <w:tab w:val="left" w:leader="none" w:pos="2835"/>
              </w:tabs>
              <w:jc w:val="both"/>
              <w:rPr>
                <w:b w:val="1"/>
                <w:bCs w:val="1"/>
                <w:sz w:val="16"/>
                <w:szCs w:val="16"/>
              </w:rPr>
            </w:pPr>
            <w:r w:rsidDel="00000000" w:rsidR="00000000" w:rsidRPr="00000000">
              <w:rPr>
                <w:b w:val="1"/>
                <w:bCs w:val="1"/>
                <w:sz w:val="16"/>
                <w:szCs w:val="16"/>
                <w:rtl w:val="0"/>
              </w:rPr>
              <w:t xml:space="preserve">CONTENUTI DEL PERCORSO </w:t>
            </w:r>
          </w:p>
          <w:p w:rsidR="00000000" w:rsidDel="00000000" w:rsidP="00000000" w:rsidRDefault="00000000" w:rsidRPr="00000000" w14:paraId="00000004">
            <w:pPr>
              <w:tabs>
                <w:tab w:val="left" w:leader="none" w:pos="2835"/>
              </w:tabs>
              <w:jc w:val="both"/>
              <w:rPr>
                <w:b w:val="1"/>
                <w:bCs w:val="1"/>
                <w:sz w:val="16"/>
                <w:szCs w:val="16"/>
              </w:rPr>
            </w:pPr>
            <w:r w:rsidDel="00000000" w:rsidR="00000000" w:rsidRPr="00000000">
              <w:rPr>
                <w:b w:val="1"/>
                <w:bCs w:val="1"/>
                <w:sz w:val="16"/>
                <w:szCs w:val="16"/>
                <w:rtl w:val="0"/>
              </w:rPr>
              <w:t xml:space="preserve">FORMATIVO</w:t>
            </w:r>
          </w:p>
          <w:p w:rsidR="00000000" w:rsidDel="00000000" w:rsidP="00000000" w:rsidRDefault="00000000" w:rsidRPr="00000000" w14:paraId="00000005">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6">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7">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8">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A">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C">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D">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E">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0F">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0">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1">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2">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3">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4">
            <w:pPr>
              <w:tabs>
                <w:tab w:val="left" w:leader="none" w:pos="2835"/>
              </w:tabs>
              <w:jc w:val="both"/>
              <w:rPr>
                <w:b w:val="1"/>
                <w:bCs w:val="1"/>
                <w:sz w:val="16"/>
                <w:szCs w:val="16"/>
              </w:rPr>
            </w:pPr>
            <w:r w:rsidDel="00000000" w:rsidR="00000000" w:rsidRPr="00000000">
              <w:rPr>
                <w:b w:val="1"/>
                <w:bCs w:val="1"/>
                <w:sz w:val="16"/>
                <w:szCs w:val="16"/>
                <w:rtl w:val="0"/>
              </w:rPr>
              <w:t xml:space="preserve">DURATA DEL PERCORSO</w:t>
            </w:r>
          </w:p>
          <w:p w:rsidR="00000000" w:rsidDel="00000000" w:rsidP="00000000" w:rsidRDefault="00000000" w:rsidRPr="00000000" w14:paraId="00000015">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6">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7">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8">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9">
            <w:pPr>
              <w:tabs>
                <w:tab w:val="left" w:leader="none" w:pos="2835"/>
              </w:tabs>
              <w:jc w:val="both"/>
              <w:rPr>
                <w:b w:val="1"/>
                <w:bCs w:val="1"/>
                <w:sz w:val="16"/>
                <w:szCs w:val="16"/>
              </w:rPr>
            </w:pPr>
            <w:r w:rsidDel="00000000" w:rsidR="00000000" w:rsidRPr="00000000">
              <w:rPr>
                <w:b w:val="1"/>
                <w:bCs w:val="1"/>
                <w:sz w:val="16"/>
                <w:szCs w:val="16"/>
                <w:rtl w:val="0"/>
              </w:rPr>
              <w:t xml:space="preserve">SBOCCHI OCCUPAZIONALI</w:t>
            </w:r>
          </w:p>
          <w:p w:rsidR="00000000" w:rsidDel="00000000" w:rsidP="00000000" w:rsidRDefault="00000000" w:rsidRPr="00000000" w14:paraId="0000001A">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B">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C">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D">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E">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1F">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0">
            <w:pPr>
              <w:tabs>
                <w:tab w:val="left" w:leader="none" w:pos="2835"/>
              </w:tabs>
              <w:jc w:val="both"/>
              <w:rPr>
                <w:b w:val="1"/>
                <w:bCs w:val="1"/>
                <w:sz w:val="16"/>
                <w:szCs w:val="16"/>
              </w:rPr>
            </w:pPr>
            <w:r w:rsidDel="00000000" w:rsidR="00000000" w:rsidRPr="00000000">
              <w:rPr>
                <w:b w:val="1"/>
                <w:bCs w:val="1"/>
                <w:sz w:val="16"/>
                <w:szCs w:val="16"/>
                <w:rtl w:val="0"/>
              </w:rPr>
              <w:t xml:space="preserve">REQUISITI ACCESSO E DESTINATARI</w:t>
            </w:r>
          </w:p>
          <w:p w:rsidR="00000000" w:rsidDel="00000000" w:rsidP="00000000" w:rsidRDefault="00000000" w:rsidRPr="00000000" w14:paraId="00000021">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2">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3">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4">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5">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6">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7">
            <w:pPr>
              <w:tabs>
                <w:tab w:val="left" w:leader="none" w:pos="2835"/>
              </w:tabs>
              <w:jc w:val="both"/>
              <w:rPr>
                <w:b w:val="1"/>
                <w:bCs w:val="1"/>
                <w:sz w:val="16"/>
                <w:szCs w:val="16"/>
              </w:rPr>
            </w:pPr>
            <w:r w:rsidDel="00000000" w:rsidR="00000000" w:rsidRPr="00000000">
              <w:rPr>
                <w:b w:val="1"/>
                <w:bCs w:val="1"/>
                <w:sz w:val="16"/>
                <w:szCs w:val="16"/>
                <w:rtl w:val="0"/>
              </w:rPr>
              <w:t xml:space="preserve">MODALITA’ DI SELEZIONE</w:t>
            </w:r>
          </w:p>
          <w:p w:rsidR="00000000" w:rsidDel="00000000" w:rsidP="00000000" w:rsidRDefault="00000000" w:rsidRPr="00000000" w14:paraId="00000028">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9">
            <w:pPr>
              <w:tabs>
                <w:tab w:val="left" w:leader="none" w:pos="2835"/>
              </w:tabs>
              <w:jc w:val="both"/>
              <w:rPr>
                <w:b w:val="1"/>
                <w:bCs w:val="1"/>
                <w:sz w:val="16"/>
                <w:szCs w:val="16"/>
              </w:rPr>
            </w:pPr>
            <w:r w:rsidDel="00000000" w:rsidR="00000000" w:rsidRPr="00000000">
              <w:rPr>
                <w:b w:val="1"/>
                <w:bCs w:val="1"/>
                <w:sz w:val="16"/>
                <w:szCs w:val="16"/>
                <w:rtl w:val="0"/>
              </w:rPr>
              <w:t xml:space="preserve">RICONOSCIMENTO CREDITI IN INGRESSO</w:t>
            </w:r>
          </w:p>
          <w:p w:rsidR="00000000" w:rsidDel="00000000" w:rsidP="00000000" w:rsidRDefault="00000000" w:rsidRPr="00000000" w14:paraId="0000002A">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B">
            <w:pPr>
              <w:tabs>
                <w:tab w:val="left" w:leader="none" w:pos="2835"/>
              </w:tabs>
              <w:jc w:val="both"/>
              <w:rPr>
                <w:b w:val="1"/>
                <w:bCs w:val="1"/>
                <w:sz w:val="16"/>
                <w:szCs w:val="16"/>
              </w:rPr>
            </w:pPr>
            <w:r w:rsidDel="00000000" w:rsidR="00000000" w:rsidRPr="00000000">
              <w:rPr>
                <w:b w:val="1"/>
                <w:bCs w:val="1"/>
                <w:sz w:val="16"/>
                <w:szCs w:val="16"/>
                <w:rtl w:val="0"/>
              </w:rPr>
              <w:t xml:space="preserve">INFORMAZIONI E </w:t>
            </w:r>
          </w:p>
          <w:p w:rsidR="00000000" w:rsidDel="00000000" w:rsidP="00000000" w:rsidRDefault="00000000" w:rsidRPr="00000000" w14:paraId="0000002C">
            <w:pPr>
              <w:tabs>
                <w:tab w:val="left" w:leader="none" w:pos="2835"/>
              </w:tabs>
              <w:jc w:val="both"/>
              <w:rPr>
                <w:b w:val="1"/>
                <w:bCs w:val="1"/>
                <w:sz w:val="16"/>
                <w:szCs w:val="16"/>
              </w:rPr>
            </w:pPr>
            <w:r w:rsidDel="00000000" w:rsidR="00000000" w:rsidRPr="00000000">
              <w:rPr>
                <w:b w:val="1"/>
                <w:bCs w:val="1"/>
                <w:sz w:val="16"/>
                <w:szCs w:val="16"/>
                <w:rtl w:val="0"/>
              </w:rPr>
              <w:t xml:space="preserve">ISCRIZIONI</w:t>
            </w:r>
          </w:p>
          <w:p w:rsidR="00000000" w:rsidDel="00000000" w:rsidP="00000000" w:rsidRDefault="00000000" w:rsidRPr="00000000" w14:paraId="0000002D">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E">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2F">
            <w:pPr>
              <w:tabs>
                <w:tab w:val="left" w:leader="none" w:pos="2835"/>
              </w:tabs>
              <w:jc w:val="both"/>
              <w:rPr>
                <w:b w:val="1"/>
                <w:bCs w:val="1"/>
                <w:sz w:val="16"/>
                <w:szCs w:val="16"/>
              </w:rPr>
            </w:pPr>
            <w:r w:rsidDel="00000000" w:rsidR="00000000" w:rsidRPr="00000000">
              <w:rPr>
                <w:b w:val="1"/>
                <w:bCs w:val="1"/>
                <w:sz w:val="16"/>
                <w:szCs w:val="16"/>
                <w:rtl w:val="0"/>
              </w:rPr>
              <w:t xml:space="preserve">SEDE DI SVOLGIMENTO</w:t>
            </w:r>
          </w:p>
          <w:p w:rsidR="00000000" w:rsidDel="00000000" w:rsidP="00000000" w:rsidRDefault="00000000" w:rsidRPr="00000000" w14:paraId="00000030">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31">
            <w:pPr>
              <w:tabs>
                <w:tab w:val="left" w:leader="none" w:pos="2835"/>
              </w:tabs>
              <w:jc w:val="both"/>
              <w:rPr>
                <w:b w:val="1"/>
                <w:bCs w:val="1"/>
                <w:sz w:val="16"/>
                <w:szCs w:val="16"/>
              </w:rPr>
            </w:pPr>
            <w:r w:rsidDel="00000000" w:rsidR="00000000" w:rsidRPr="00000000">
              <w:rPr>
                <w:rtl w:val="0"/>
              </w:rPr>
            </w:r>
          </w:p>
          <w:p w:rsidR="00000000" w:rsidDel="00000000" w:rsidP="00000000" w:rsidRDefault="00000000" w:rsidRPr="00000000" w14:paraId="00000032">
            <w:pPr>
              <w:tabs>
                <w:tab w:val="left" w:leader="none" w:pos="2835"/>
              </w:tabs>
              <w:rPr>
                <w:b w:val="1"/>
                <w:bCs w:val="1"/>
                <w:sz w:val="16"/>
                <w:szCs w:val="16"/>
              </w:rPr>
            </w:pPr>
            <w:r w:rsidDel="00000000" w:rsidR="00000000" w:rsidRPr="00000000">
              <w:rPr>
                <w:b w:val="1"/>
                <w:bCs w:val="1"/>
                <w:sz w:val="16"/>
                <w:szCs w:val="16"/>
                <w:rtl w:val="0"/>
              </w:rPr>
              <w:t xml:space="preserve">INDICAZIONI SULLA FREQUENZA DEL PERCORSO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sz w:val="16"/>
                <w:szCs w:val="16"/>
              </w:rPr>
            </w:pPr>
            <w:r w:rsidDel="00000000" w:rsidR="00000000" w:rsidRPr="00000000">
              <w:rPr>
                <w:sz w:val="16"/>
                <w:szCs w:val="16"/>
                <w:rtl w:val="0"/>
              </w:rPr>
              <w:t xml:space="preserve">Il corso è dedicato allo studio e alla sperimentazione delle principali tecniche di decorazione dei tessuti del XVI secolo, con particolare attenzione alla loro applicazione nella realizzazione del costume per il cinema.</w:t>
            </w:r>
          </w:p>
          <w:p w:rsidR="00000000" w:rsidDel="00000000" w:rsidP="00000000" w:rsidRDefault="00000000" w:rsidRPr="00000000" w14:paraId="00000034">
            <w:pPr>
              <w:jc w:val="both"/>
              <w:rPr>
                <w:sz w:val="16"/>
                <w:szCs w:val="16"/>
              </w:rPr>
            </w:pPr>
            <w:r w:rsidDel="00000000" w:rsidR="00000000" w:rsidRPr="00000000">
              <w:rPr>
                <w:rtl w:val="0"/>
              </w:rPr>
            </w:r>
          </w:p>
          <w:p w:rsidR="00000000" w:rsidDel="00000000" w:rsidP="00000000" w:rsidRDefault="00000000" w:rsidRPr="00000000" w14:paraId="00000035">
            <w:pPr>
              <w:jc w:val="both"/>
              <w:rPr>
                <w:sz w:val="16"/>
                <w:szCs w:val="16"/>
              </w:rPr>
            </w:pPr>
            <w:r w:rsidDel="00000000" w:rsidR="00000000" w:rsidRPr="00000000">
              <w:rPr>
                <w:sz w:val="16"/>
                <w:szCs w:val="16"/>
                <w:rtl w:val="0"/>
              </w:rPr>
              <w:t xml:space="preserve">Attraverso un percorso teorico e laboratoriale, i partecipanti approfondiranno i caratteri stilistici e decorativi del Cinquecento, analizzando motivi ornamentali, tecniche pittoriche su tessuto, dorature, applicazioni, passamanerie, ricami e finiture impiegate nella produzione di costumi storici. Le esercitazioni pratiche consentiranno di realizzare campionature decorative, sviluppando competenze tecniche finalizzate alla riproduzione di superfici tessili storicamente coerenti e di forte impatto visivo.</w:t>
            </w:r>
          </w:p>
          <w:p w:rsidR="00000000" w:rsidDel="00000000" w:rsidP="00000000" w:rsidRDefault="00000000" w:rsidRPr="00000000" w14:paraId="00000036">
            <w:pPr>
              <w:jc w:val="both"/>
              <w:rPr>
                <w:sz w:val="16"/>
                <w:szCs w:val="16"/>
              </w:rPr>
            </w:pPr>
            <w:r w:rsidDel="00000000" w:rsidR="00000000" w:rsidRPr="00000000">
              <w:rPr>
                <w:rtl w:val="0"/>
              </w:rPr>
            </w:r>
          </w:p>
          <w:p w:rsidR="00000000" w:rsidDel="00000000" w:rsidP="00000000" w:rsidRDefault="00000000" w:rsidRPr="00000000" w14:paraId="00000037">
            <w:pPr>
              <w:jc w:val="both"/>
              <w:rPr>
                <w:sz w:val="16"/>
                <w:szCs w:val="16"/>
              </w:rPr>
            </w:pPr>
            <w:r w:rsidDel="00000000" w:rsidR="00000000" w:rsidRPr="00000000">
              <w:rPr>
                <w:sz w:val="16"/>
                <w:szCs w:val="16"/>
                <w:rtl w:val="0"/>
              </w:rPr>
              <w:t xml:space="preserve">Particolare attenzione sarà dedicata alla scelta dei materiali, alla resa cromatica e agli effetti materici, elementi fondamentali per conferire autenticità e qualità al costume cinematografico. Il corso offrirà inoltre strumenti per reinterpretare le tecniche decorative storiche in funzione delle esigenze produttive contemporanee, mantenendo un equilibrio tra rigore filologico, artigianalità e linguaggio visivo.</w:t>
            </w:r>
          </w:p>
          <w:p w:rsidR="00000000" w:rsidDel="00000000" w:rsidP="00000000" w:rsidRDefault="00000000" w:rsidRPr="00000000" w14:paraId="00000038">
            <w:pPr>
              <w:jc w:val="both"/>
              <w:rPr>
                <w:sz w:val="16"/>
                <w:szCs w:val="16"/>
              </w:rPr>
            </w:pPr>
            <w:r w:rsidDel="00000000" w:rsidR="00000000" w:rsidRPr="00000000">
              <w:rPr>
                <w:rtl w:val="0"/>
              </w:rPr>
            </w:r>
          </w:p>
          <w:p w:rsidR="00000000" w:rsidDel="00000000" w:rsidP="00000000" w:rsidRDefault="00000000" w:rsidRPr="00000000" w14:paraId="00000039">
            <w:pPr>
              <w:jc w:val="both"/>
              <w:rPr>
                <w:sz w:val="16"/>
                <w:szCs w:val="16"/>
              </w:rPr>
            </w:pPr>
            <w:r w:rsidDel="00000000" w:rsidR="00000000" w:rsidRPr="00000000">
              <w:rPr>
                <w:sz w:val="16"/>
                <w:szCs w:val="16"/>
                <w:rtl w:val="0"/>
              </w:rPr>
              <w:t xml:space="preserve">Al termine del percorso i partecipanti avranno acquisito competenze pratiche nella decorazione del tessuto storico, applicabili alla realizzazione di costumi destinati al cinema, al teatro e alle produzioni audiovisive.</w:t>
            </w:r>
          </w:p>
          <w:p w:rsidR="00000000" w:rsidDel="00000000" w:rsidP="00000000" w:rsidRDefault="00000000" w:rsidRPr="00000000" w14:paraId="0000003A">
            <w:pPr>
              <w:jc w:val="both"/>
              <w:rPr>
                <w:sz w:val="16"/>
                <w:szCs w:val="16"/>
              </w:rPr>
            </w:pPr>
            <w:r w:rsidDel="00000000" w:rsidR="00000000" w:rsidRPr="00000000">
              <w:rPr>
                <w:rtl w:val="0"/>
              </w:rPr>
            </w:r>
          </w:p>
          <w:p w:rsidR="00000000" w:rsidDel="00000000" w:rsidP="00000000" w:rsidRDefault="00000000" w:rsidRPr="00000000" w14:paraId="0000003B">
            <w:pPr>
              <w:spacing w:after="160" w:lineRule="auto"/>
              <w:jc w:val="both"/>
              <w:rPr>
                <w:sz w:val="16"/>
                <w:szCs w:val="16"/>
              </w:rPr>
            </w:pPr>
            <w:r w:rsidDel="00000000" w:rsidR="00000000" w:rsidRPr="00000000">
              <w:rPr>
                <w:sz w:val="16"/>
                <w:szCs w:val="16"/>
                <w:rtl w:val="0"/>
              </w:rPr>
              <w:t xml:space="preserve">Il corso è rivolto a 18 persone maggiorenni, disoccupate, inoccupate, occupate. Il percorso ha una durata complessiva di 40 ore ed è organizzato in lezioni teoriche (8h) e esercitazioni in laboratorio (32h). Si terrà nel mese di SETTEMBRE 2026, dal lunedì al venerdì, negli orari 9.30-13.30/14.30-18.30.</w:t>
            </w:r>
          </w:p>
          <w:p w:rsidR="00000000" w:rsidDel="00000000" w:rsidP="00000000" w:rsidRDefault="00000000" w:rsidRPr="00000000" w14:paraId="0000003C">
            <w:pPr>
              <w:jc w:val="both"/>
              <w:rPr>
                <w:sz w:val="16"/>
                <w:szCs w:val="16"/>
              </w:rPr>
            </w:pPr>
            <w:r w:rsidDel="00000000" w:rsidR="00000000" w:rsidRPr="00000000">
              <w:rPr>
                <w:rtl w:val="0"/>
              </w:rPr>
            </w:r>
          </w:p>
          <w:p w:rsidR="00000000" w:rsidDel="00000000" w:rsidP="00000000" w:rsidRDefault="00000000" w:rsidRPr="00000000" w14:paraId="0000003D">
            <w:pPr>
              <w:jc w:val="both"/>
              <w:rPr>
                <w:sz w:val="16"/>
                <w:szCs w:val="16"/>
              </w:rPr>
            </w:pPr>
            <w:r w:rsidDel="00000000" w:rsidR="00000000" w:rsidRPr="00000000">
              <w:rPr>
                <w:sz w:val="16"/>
                <w:szCs w:val="16"/>
                <w:rtl w:val="0"/>
              </w:rPr>
              <w:t xml:space="preserve">Il corso forma professionisti in grado di collocarsi nel mercato della costumistica audiovisiva (cinematografica, televisiva o inerente alle nuove piattaforme multimediali), fornendo un potenziale set di conoscenze e capacità, utili da spendere sia per introdursi nel mondo del lavoro, sia per acquisire nuove competenze per arricchire il proprio bagaglio professionale, grazie anche alla crescente richiesta del mercato di prodotti audiovisivi in costume storico.</w:t>
            </w:r>
          </w:p>
          <w:p w:rsidR="00000000" w:rsidDel="00000000" w:rsidP="00000000" w:rsidRDefault="00000000" w:rsidRPr="00000000" w14:paraId="0000003E">
            <w:pPr>
              <w:spacing w:after="160" w:lineRule="auto"/>
              <w:jc w:val="both"/>
              <w:rPr>
                <w:sz w:val="16"/>
                <w:szCs w:val="16"/>
              </w:rPr>
            </w:pPr>
            <w:r w:rsidDel="00000000" w:rsidR="00000000" w:rsidRPr="00000000">
              <w:rPr>
                <w:sz w:val="16"/>
                <w:szCs w:val="16"/>
                <w:rtl w:val="0"/>
              </w:rPr>
              <w:t xml:space="preserve">Il corso ha come finalità quella di trasmettere un metodo di lavoro specifico che può essere applicato ai tessuti utilizzati per la costumistica del comparto audiovisivo,</w:t>
            </w:r>
          </w:p>
          <w:p w:rsidR="00000000" w:rsidDel="00000000" w:rsidP="00000000" w:rsidRDefault="00000000" w:rsidRPr="00000000" w14:paraId="0000003F">
            <w:pPr>
              <w:tabs>
                <w:tab w:val="left" w:leader="none" w:pos="2835"/>
              </w:tabs>
              <w:jc w:val="both"/>
              <w:rPr>
                <w:sz w:val="16"/>
                <w:szCs w:val="16"/>
              </w:rPr>
            </w:pPr>
            <w:r w:rsidDel="00000000" w:rsidR="00000000" w:rsidRPr="00000000">
              <w:rPr>
                <w:sz w:val="16"/>
                <w:szCs w:val="16"/>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 Sono richieste competenze minime artistiche, inerenti al settore abbigliamento/moda.</w:t>
            </w:r>
          </w:p>
          <w:p w:rsidR="00000000" w:rsidDel="00000000" w:rsidP="00000000" w:rsidRDefault="00000000" w:rsidRPr="00000000" w14:paraId="00000040">
            <w:pP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41">
            <w:pPr>
              <w:tabs>
                <w:tab w:val="left" w:leader="none" w:pos="2840"/>
                <w:tab w:val="left" w:leader="none" w:pos="8270"/>
              </w:tabs>
              <w:ind w:right="-10"/>
              <w:jc w:val="both"/>
              <w:rPr>
                <w:sz w:val="16"/>
                <w:szCs w:val="16"/>
              </w:rPr>
            </w:pPr>
            <w:r w:rsidDel="00000000" w:rsidR="00000000" w:rsidRPr="00000000">
              <w:rPr>
                <w:sz w:val="16"/>
                <w:szCs w:val="16"/>
                <w:rtl w:val="0"/>
              </w:rPr>
              <w:t xml:space="preserve">I partecipanti verranno selezionati fino a esaurimento posti in conformità con i requisiti richiesti per un massimo di 18 partecipanti. </w:t>
            </w:r>
          </w:p>
          <w:p w:rsidR="00000000" w:rsidDel="00000000" w:rsidP="00000000" w:rsidRDefault="00000000" w:rsidRPr="00000000" w14:paraId="00000042">
            <w:pPr>
              <w:tabs>
                <w:tab w:val="left" w:leader="none" w:pos="2840"/>
                <w:tab w:val="left" w:leader="none" w:pos="8270"/>
              </w:tabs>
              <w:ind w:right="-10"/>
              <w:jc w:val="both"/>
              <w:rPr>
                <w:sz w:val="14"/>
                <w:szCs w:val="1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835"/>
              </w:tabs>
              <w:jc w:val="both"/>
              <w:rPr>
                <w:color w:val="000000"/>
                <w:sz w:val="16"/>
                <w:szCs w:val="16"/>
              </w:rPr>
            </w:pPr>
            <w:r w:rsidDel="00000000" w:rsidR="00000000" w:rsidRPr="00000000">
              <w:rPr>
                <w:color w:val="000000"/>
                <w:sz w:val="16"/>
                <w:szCs w:val="16"/>
                <w:rtl w:val="0"/>
              </w:rPr>
              <w:t xml:space="preserve">Non è previsto riconoscimento di crediti in ingresso.</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Le iscrizioni dovranno pervenire entro e non oltre il 24/08/2026. Per informazioni consultare la pagina dedicata alla formazione sul sito www.manifatturedigitalicinema.it</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hyperlink r:id="rId7">
              <w:r w:rsidDel="00000000" w:rsidR="00000000" w:rsidRPr="00000000">
                <w:rPr>
                  <w:color w:val="0000ff"/>
                  <w:sz w:val="16"/>
                  <w:szCs w:val="16"/>
                  <w:u w:val="single"/>
                  <w:rtl w:val="0"/>
                </w:rPr>
                <w:t xml:space="preserve">Tel.  057420953</w:t>
              </w:r>
            </w:hyperlink>
            <w:r w:rsidDel="00000000" w:rsidR="00000000" w:rsidRPr="00000000">
              <w:rPr>
                <w:sz w:val="16"/>
                <w:szCs w:val="16"/>
                <w:rtl w:val="0"/>
              </w:rPr>
              <w:t xml:space="preserve"> Mail: </w:t>
            </w:r>
            <w:hyperlink r:id="rId8">
              <w:r w:rsidDel="00000000" w:rsidR="00000000" w:rsidRPr="00000000">
                <w:rPr>
                  <w:color w:val="0000ff"/>
                  <w:sz w:val="16"/>
                  <w:szCs w:val="16"/>
                  <w:u w:val="single"/>
                  <w:rtl w:val="0"/>
                </w:rPr>
                <w:t xml:space="preserve">iscrizioni@manifatturedigitalicinema.it</w:t>
              </w:r>
            </w:hyperlink>
            <w:r w:rsidDel="00000000" w:rsidR="00000000" w:rsidRPr="00000000">
              <w:rPr>
                <w:color w:val="0000ff"/>
                <w:sz w:val="16"/>
                <w:szCs w:val="16"/>
                <w:u w:val="single"/>
                <w:rtl w:val="0"/>
              </w:rPr>
              <w:t xml:space="preserve"> </w:t>
              <w:br w:type="textWrapping"/>
            </w:r>
            <w:r w:rsidDel="00000000" w:rsidR="00000000" w:rsidRPr="00000000">
              <w:rPr>
                <w:sz w:val="16"/>
                <w:szCs w:val="16"/>
                <w:rtl w:val="0"/>
              </w:rPr>
              <w:t xml:space="preserve">Manifatture Digitali Cinema, Via Santa Caterina, 13 – Prato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0"/>
                <w:tab w:val="left" w:leader="none" w:pos="8270"/>
              </w:tabs>
              <w:ind w:right="-10"/>
              <w:jc w:val="both"/>
              <w:rPr>
                <w:sz w:val="16"/>
                <w:szCs w:val="16"/>
              </w:rPr>
            </w:pPr>
            <w:r w:rsidDel="00000000" w:rsidR="00000000" w:rsidRPr="00000000">
              <w:rPr>
                <w:sz w:val="16"/>
                <w:szCs w:val="16"/>
                <w:rtl w:val="0"/>
              </w:rPr>
              <w:t xml:space="preserve">I partecipanti che avranno frequentato almeno il 70% del monte ore complessivo, riceveranno un attestato di frequenza.</w:t>
            </w:r>
          </w:p>
        </w:tc>
      </w:tr>
    </w:tbl>
    <w:p w:rsidR="00000000" w:rsidDel="00000000" w:rsidP="00000000" w:rsidRDefault="00000000" w:rsidRPr="00000000" w14:paraId="0000004B">
      <w:pPr>
        <w:ind w:right="-262"/>
        <w:jc w:val="both"/>
        <w:rPr/>
      </w:pPr>
      <w:r w:rsidDel="00000000" w:rsidR="00000000" w:rsidRPr="00000000">
        <w:rPr>
          <w:rtl w:val="0"/>
        </w:rPr>
      </w:r>
    </w:p>
    <w:sectPr>
      <w:headerReference r:id="rId9" w:type="default"/>
      <w:footerReference r:id="rId10" w:type="default"/>
      <w:pgSz w:h="16838" w:w="11906" w:orient="portrait"/>
      <w:pgMar w:bottom="1133" w:top="402"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Basic">
    <w:embedRegular w:fontKey="{00000000-0000-0000-0000-000000000000}" r:id="rId1" w:subsetted="0"/>
  </w:font>
  <w:font w:name="Twentieth Century"/>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6120765" cy="60579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Pr>
      <w:drawing>
        <wp:inline distB="0" distT="0" distL="0" distR="0">
          <wp:extent cx="1225521" cy="397670"/>
          <wp:effectExtent b="0" l="0" r="0" t="0"/>
          <wp:docPr descr="Immagine che contiene logo, palla, cerchio, testo&#10;&#10;Descrizione generata automaticamente" id="2" name="image1.png"/>
          <a:graphic>
            <a:graphicData uri="http://schemas.openxmlformats.org/drawingml/2006/picture">
              <pic:pic>
                <pic:nvPicPr>
                  <pic:cNvPr descr="Immagine che contiene logo, palla, cerchio, testo&#10;&#10;Descrizione generata automaticamente" id="0" name="image1.png"/>
                  <pic:cNvPicPr preferRelativeResize="0"/>
                </pic:nvPicPr>
                <pic:blipFill>
                  <a:blip r:embed="rId2"/>
                  <a:srcRect b="0" l="0" r="0" t="0"/>
                  <a:stretch>
                    <a:fillRect/>
                  </a:stretch>
                </pic:blipFill>
                <pic:spPr>
                  <a:xfrm>
                    <a:off x="0" y="0"/>
                    <a:ext cx="1225521" cy="39767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jc w:val="center"/>
      <w:rPr>
        <w:b w:val="1"/>
        <w:bCs w:val="1"/>
        <w:i w:val="1"/>
        <w:iCs w:val="1"/>
        <w:sz w:val="28"/>
        <w:szCs w:val="28"/>
      </w:rPr>
    </w:pPr>
    <w:r w:rsidDel="00000000" w:rsidR="00000000" w:rsidRPr="00000000">
      <w:rPr>
        <w:b w:val="1"/>
        <w:bCs w:val="1"/>
        <w:i w:val="1"/>
        <w:iCs w:val="1"/>
        <w:sz w:val="28"/>
        <w:szCs w:val="28"/>
        <w:rtl w:val="0"/>
      </w:rPr>
      <w:t xml:space="preserve">Decorazione del Tessuto nel ‘500</w:t>
    </w:r>
  </w:p>
  <w:p w:rsidR="00000000" w:rsidDel="00000000" w:rsidP="00000000" w:rsidRDefault="00000000" w:rsidRPr="00000000" w14:paraId="00000050">
    <w:pPr>
      <w:pBdr>
        <w:top w:space="0" w:sz="0" w:val="nil"/>
        <w:left w:space="0" w:sz="0" w:val="nil"/>
        <w:bottom w:space="0" w:sz="0" w:val="nil"/>
        <w:right w:space="0" w:sz="0" w:val="nil"/>
        <w:between w:space="0" w:sz="0" w:val="nil"/>
      </w:pBdr>
      <w:ind w:right="-262"/>
      <w:jc w:val="center"/>
      <w:rPr>
        <w:sz w:val="24"/>
        <w:szCs w:val="24"/>
      </w:rPr>
    </w:pPr>
    <w:r w:rsidDel="00000000" w:rsidR="00000000" w:rsidRPr="00000000">
      <w:rPr>
        <w:rtl w:val="0"/>
      </w:rPr>
    </w:r>
  </w:p>
  <w:p w:rsidR="00000000" w:rsidDel="00000000" w:rsidP="00000000" w:rsidRDefault="00000000" w:rsidRPr="00000000" w14:paraId="00000051">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52">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53">
    <w:pPr>
      <w:jc w:val="center"/>
      <w:rPr>
        <w:sz w:val="18"/>
        <w:szCs w:val="18"/>
      </w:rPr>
    </w:pPr>
    <w:r w:rsidDel="00000000" w:rsidR="00000000" w:rsidRPr="00000000">
      <w:rPr>
        <w:sz w:val="16"/>
        <w:szCs w:val="16"/>
        <w:rtl w:val="0"/>
      </w:rPr>
      <w:t xml:space="preserve">Il corso è interamente gratuito in quanto finanziato dal Fondo Sociale Europeo Plus 2021/2027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pPr>
    <w:rPr>
      <w:rFonts w:ascii="Twentieth Century" w:cs="Twentieth Century" w:eastAsia="Twentieth Century" w:hAnsi="Twentieth Century"/>
      <w:b w:val="1"/>
      <w:bCs w:val="1"/>
      <w:sz w:val="40"/>
      <w:szCs w:val="40"/>
    </w:rPr>
  </w:style>
  <w:style w:type="paragraph" w:styleId="Heading2">
    <w:name w:val="heading 2"/>
    <w:basedOn w:val="Normal"/>
    <w:next w:val="Normal"/>
    <w:pPr>
      <w:keepNext w:val="1"/>
      <w:ind w:left="576" w:hanging="576"/>
      <w:jc w:val="center"/>
    </w:pPr>
    <w:rPr>
      <w:rFonts w:ascii="Basic" w:cs="Basic" w:eastAsia="Basic" w:hAnsi="Basic"/>
      <w:i w:val="1"/>
      <w:iCs w:val="1"/>
      <w:sz w:val="28"/>
      <w:szCs w:val="28"/>
    </w:rPr>
  </w:style>
  <w:style w:type="paragraph" w:styleId="Heading3">
    <w:name w:val="heading 3"/>
    <w:basedOn w:val="Normal"/>
    <w:next w:val="Normal"/>
    <w:pPr>
      <w:keepNext w:val="1"/>
      <w:ind w:left="720" w:hanging="720"/>
    </w:pPr>
    <w:rPr>
      <w:u w:val="single"/>
    </w:rPr>
  </w:style>
  <w:style w:type="paragraph" w:styleId="Heading4">
    <w:name w:val="heading 4"/>
    <w:basedOn w:val="Normal"/>
    <w:next w:val="Normal"/>
    <w:pPr>
      <w:keepNext w:val="1"/>
      <w:ind w:left="864" w:hanging="864"/>
      <w:jc w:val="center"/>
    </w:pPr>
    <w:rPr>
      <w:b w:val="1"/>
      <w:bCs w:val="1"/>
      <w:color w:val="ff0000"/>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057420953" TargetMode="External"/><Relationship Id="rId8" Type="http://schemas.openxmlformats.org/officeDocument/2006/relationships/hyperlink" Target="mailto:iscrizioni@manifatturedigitalicinem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ZZGEL8hYkWPeeCWmiN3yzsGOA==">CgMxLjA4AHIhMXFMRkpRaW5vV192S3NtZDI5dVp2SG1YanI3QWFqb3cw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